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200-НҚ от 02.06.2023</w:t>
      </w:r>
    </w:p>
    <w:p w:rsidR="00A23E65" w:rsidRPr="00A23E65" w:rsidRDefault="00A23E65" w:rsidP="00A23E65">
      <w:pPr>
        <w:jc w:val="right"/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</w:pPr>
      <w:r w:rsidRPr="00A23E65"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  <w:t>Приложение 1</w:t>
      </w:r>
    </w:p>
    <w:p w:rsidR="008A2F92" w:rsidRPr="00D21734" w:rsidRDefault="008A2F92" w:rsidP="004278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734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tbl>
      <w:tblPr>
        <w:tblStyle w:val="1"/>
        <w:tblW w:w="10319" w:type="dxa"/>
        <w:tblInd w:w="-572" w:type="dxa"/>
        <w:tblLayout w:type="fixed"/>
        <w:tblLook w:val="04A0"/>
      </w:tblPr>
      <w:tblGrid>
        <w:gridCol w:w="369"/>
        <w:gridCol w:w="48"/>
        <w:gridCol w:w="142"/>
        <w:gridCol w:w="1787"/>
        <w:gridCol w:w="35"/>
        <w:gridCol w:w="3402"/>
        <w:gridCol w:w="1560"/>
        <w:gridCol w:w="2976"/>
      </w:tblGrid>
      <w:tr w:rsidR="00641BFF" w:rsidRPr="008A2F92" w:rsidTr="00D21734">
        <w:trPr>
          <w:trHeight w:val="230"/>
        </w:trPr>
        <w:tc>
          <w:tcPr>
            <w:tcW w:w="417" w:type="dxa"/>
            <w:gridSpan w:val="2"/>
          </w:tcPr>
          <w:p w:rsidR="00641BFF" w:rsidRPr="008A2F92" w:rsidRDefault="00641BFF" w:rsidP="008A2F92">
            <w:pPr>
              <w:jc w:val="both"/>
            </w:pPr>
            <w:r w:rsidRPr="008A2F92">
              <w:rPr>
                <w:b/>
              </w:rPr>
              <w:t xml:space="preserve">№ </w:t>
            </w:r>
            <w:proofErr w:type="gramStart"/>
            <w:r w:rsidRPr="008A2F92">
              <w:rPr>
                <w:b/>
              </w:rPr>
              <w:t>п</w:t>
            </w:r>
            <w:proofErr w:type="gramEnd"/>
            <w:r w:rsidRPr="008A2F92">
              <w:rPr>
                <w:b/>
              </w:rPr>
              <w:t>/п</w:t>
            </w:r>
          </w:p>
        </w:tc>
        <w:tc>
          <w:tcPr>
            <w:tcW w:w="1964" w:type="dxa"/>
            <w:gridSpan w:val="3"/>
          </w:tcPr>
          <w:p w:rsidR="00D21734" w:rsidRDefault="00D21734" w:rsidP="00D21734">
            <w:pPr>
              <w:jc w:val="center"/>
              <w:rPr>
                <w:rFonts w:eastAsia="Calibri"/>
                <w:b/>
              </w:rPr>
            </w:pPr>
          </w:p>
          <w:p w:rsidR="00641BFF" w:rsidRPr="008A2F92" w:rsidRDefault="00641BFF" w:rsidP="00D21734">
            <w:pPr>
              <w:jc w:val="center"/>
            </w:pPr>
            <w:r w:rsidRPr="008A2F92">
              <w:rPr>
                <w:rFonts w:eastAsia="Calibri"/>
                <w:b/>
              </w:rPr>
              <w:t>Обозначение</w:t>
            </w:r>
          </w:p>
        </w:tc>
        <w:tc>
          <w:tcPr>
            <w:tcW w:w="3402" w:type="dxa"/>
          </w:tcPr>
          <w:p w:rsidR="00D21734" w:rsidRDefault="00D21734" w:rsidP="00D21734">
            <w:pPr>
              <w:jc w:val="center"/>
              <w:rPr>
                <w:rFonts w:eastAsia="Calibri"/>
                <w:b/>
              </w:rPr>
            </w:pPr>
          </w:p>
          <w:p w:rsidR="00641BFF" w:rsidRPr="008A2F92" w:rsidRDefault="00641BFF" w:rsidP="00D21734">
            <w:pPr>
              <w:jc w:val="center"/>
              <w:rPr>
                <w:bCs/>
              </w:rPr>
            </w:pPr>
            <w:r w:rsidRPr="008A2F92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560" w:type="dxa"/>
          </w:tcPr>
          <w:p w:rsidR="00D21734" w:rsidRDefault="00D21734" w:rsidP="00D21734">
            <w:pPr>
              <w:jc w:val="center"/>
              <w:rPr>
                <w:b/>
              </w:rPr>
            </w:pPr>
          </w:p>
          <w:p w:rsidR="00641BFF" w:rsidRPr="008A2F92" w:rsidRDefault="00641BFF" w:rsidP="00D21734">
            <w:pPr>
              <w:jc w:val="center"/>
              <w:rPr>
                <w:bCs/>
              </w:rPr>
            </w:pPr>
            <w:r w:rsidRPr="008A2F92">
              <w:rPr>
                <w:b/>
              </w:rPr>
              <w:t>Информация</w:t>
            </w:r>
          </w:p>
        </w:tc>
        <w:tc>
          <w:tcPr>
            <w:tcW w:w="2976" w:type="dxa"/>
          </w:tcPr>
          <w:p w:rsidR="00D21734" w:rsidRDefault="00D21734" w:rsidP="00D21734">
            <w:pPr>
              <w:jc w:val="center"/>
              <w:rPr>
                <w:b/>
              </w:rPr>
            </w:pPr>
          </w:p>
          <w:p w:rsidR="00641BFF" w:rsidRPr="008A2F92" w:rsidRDefault="00641BFF" w:rsidP="00D21734">
            <w:pPr>
              <w:jc w:val="center"/>
              <w:rPr>
                <w:b/>
              </w:rPr>
            </w:pPr>
            <w:r w:rsidRPr="008A2F92">
              <w:rPr>
                <w:b/>
              </w:rPr>
              <w:t>Дата введения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</w:tcPr>
          <w:p w:rsidR="00641BFF" w:rsidRPr="008A2F92" w:rsidRDefault="00641BFF" w:rsidP="00427810">
            <w:pPr>
              <w:jc w:val="center"/>
              <w:rPr>
                <w:b/>
              </w:rPr>
            </w:pPr>
            <w:r w:rsidRPr="008A2F92">
              <w:rPr>
                <w:b/>
              </w:rPr>
              <w:t>Технический регламент Евразийского экономического союза «О безопасности мяса птицы и продукции его переработки» (</w:t>
            </w:r>
            <w:proofErr w:type="gramStart"/>
            <w:r w:rsidRPr="008A2F92">
              <w:rPr>
                <w:b/>
              </w:rPr>
              <w:t>ТР</w:t>
            </w:r>
            <w:proofErr w:type="gramEnd"/>
            <w:r w:rsidRPr="008A2F92">
              <w:rPr>
                <w:b/>
              </w:rPr>
              <w:t xml:space="preserve"> ЕАЭС 051/2021)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32589-2013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Продукты кулинарные из мяса птицы. Общие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3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32733-2014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Консервы. Мясо птицы тушеное для детского питания.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4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32734-2014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Мясо перепелов для детского питания.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7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5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32739-2014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Мясо цыплят-бройлеров сублимационной сушки.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6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34122-2017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Субпродукты птицы для детского питания.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7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34158-2017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Продукты убоя гусей. Торговые описания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8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32737-2014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Полуфабрикаты натуральные из мяса птицы для детского питания.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9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31470-2018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Мясо птицы, субпродукты и полуфабрикаты из мяса птицы. Методы органолептических и физико-химических исследований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10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34118-2017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Мясо и мясные продукты Метод определения перекисного числа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11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33607-2015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Мясо и мясные продукты. Определение бета-агонистов методом высокоэффективной жидкостной хроматографии с масс-спектрометрическим детектором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34678-2020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Продукты пищевые, продовольственное сырье. Метод определения остаточного содержания полипептидных антибиотиков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Технический регламент Таможенного союза «О безопасности пищевой продукции»</w:t>
            </w:r>
          </w:p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(</w:t>
            </w: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ТС 021/2011)</w:t>
            </w:r>
          </w:p>
        </w:tc>
      </w:tr>
      <w:tr w:rsidR="00641BFF" w:rsidRPr="008A2F92" w:rsidTr="00641BFF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13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33494-2015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Капуста белокочанная свежая для промышленной переработки.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14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ISO 23275-1-2020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 «Жиры и масла животные и растительные. Эквиваленты какао-масла в какао-масле и шоколаде. Часть 1. Определение наличия эквивалентов какао-масла»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15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ISO 23275-2-2020</w:t>
            </w:r>
          </w:p>
        </w:tc>
        <w:tc>
          <w:tcPr>
            <w:tcW w:w="3402" w:type="dxa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 «Жиры и масла животные и растительные. Эквиваленты какао-масла в какао-масле и шоколаде. Часть 2. Количественное определение наличия эквивалентов какао-масла»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ЕАЭС 047/2018 «О безопасности алкогольной продукции»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lastRenderedPageBreak/>
              <w:t>16</w:t>
            </w:r>
          </w:p>
        </w:tc>
        <w:tc>
          <w:tcPr>
            <w:tcW w:w="1929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ГОСТ 34793-2021</w:t>
            </w:r>
          </w:p>
        </w:tc>
        <w:tc>
          <w:tcPr>
            <w:tcW w:w="3437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«Напитки слабоалкогольные спиртованные. Общие технические условия»</w:t>
            </w:r>
          </w:p>
        </w:tc>
        <w:tc>
          <w:tcPr>
            <w:tcW w:w="1560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Впервые </w:t>
            </w:r>
          </w:p>
        </w:tc>
        <w:tc>
          <w:tcPr>
            <w:tcW w:w="2976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17</w:t>
            </w:r>
          </w:p>
        </w:tc>
        <w:tc>
          <w:tcPr>
            <w:tcW w:w="1929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ГОСТ 34794-2021</w:t>
            </w:r>
          </w:p>
        </w:tc>
        <w:tc>
          <w:tcPr>
            <w:tcW w:w="3437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«Медовухи. Общие технические условия»</w:t>
            </w:r>
          </w:p>
        </w:tc>
        <w:tc>
          <w:tcPr>
            <w:tcW w:w="1560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Впервые </w:t>
            </w:r>
          </w:p>
        </w:tc>
        <w:tc>
          <w:tcPr>
            <w:tcW w:w="2976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20</w:t>
            </w:r>
          </w:p>
        </w:tc>
        <w:tc>
          <w:tcPr>
            <w:tcW w:w="1929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ГОСТ 32033-2021</w:t>
            </w:r>
          </w:p>
        </w:tc>
        <w:tc>
          <w:tcPr>
            <w:tcW w:w="3437" w:type="dxa"/>
            <w:gridSpan w:val="2"/>
          </w:tcPr>
          <w:p w:rsidR="00641BFF" w:rsidRPr="008A2F92" w:rsidRDefault="00641BFF" w:rsidP="00814F1F">
            <w:pPr>
              <w:jc w:val="both"/>
            </w:pPr>
            <w:r>
              <w:rPr>
                <w:bCs/>
              </w:rPr>
              <w:t>«</w:t>
            </w:r>
            <w:r w:rsidRPr="008A2F92">
              <w:rPr>
                <w:bCs/>
              </w:rPr>
              <w:t>Напитки медовые. Общие технические условия</w:t>
            </w:r>
            <w:r>
              <w:rPr>
                <w:bCs/>
              </w:rPr>
              <w:t>»</w:t>
            </w:r>
          </w:p>
        </w:tc>
        <w:tc>
          <w:tcPr>
            <w:tcW w:w="1560" w:type="dxa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 xml:space="preserve">Взамен ГОСТ 32033-2012 </w:t>
            </w:r>
            <w:r w:rsidRPr="008A2F92">
              <w:t xml:space="preserve">с установлением 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t xml:space="preserve"> переходного периода до 20.04.2024 г</w:t>
            </w:r>
          </w:p>
        </w:tc>
        <w:tc>
          <w:tcPr>
            <w:tcW w:w="2976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21</w:t>
            </w:r>
          </w:p>
        </w:tc>
        <w:tc>
          <w:tcPr>
            <w:tcW w:w="1929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ГОСТ 12786-2021</w:t>
            </w:r>
          </w:p>
        </w:tc>
        <w:tc>
          <w:tcPr>
            <w:tcW w:w="3437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«Продукция пивоваренная. Правила приемки и методы отбора проб»</w:t>
            </w:r>
          </w:p>
        </w:tc>
        <w:tc>
          <w:tcPr>
            <w:tcW w:w="1560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Взамен ГОСТ 12786-80 </w:t>
            </w:r>
            <w:r w:rsidRPr="008A2F92">
              <w:t>с установлением переходного периода до 22.06.2024</w:t>
            </w:r>
          </w:p>
        </w:tc>
        <w:tc>
          <w:tcPr>
            <w:tcW w:w="2976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22</w:t>
            </w:r>
          </w:p>
        </w:tc>
        <w:tc>
          <w:tcPr>
            <w:tcW w:w="1929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>ГОСТ 12787-2021</w:t>
            </w:r>
          </w:p>
        </w:tc>
        <w:tc>
          <w:tcPr>
            <w:tcW w:w="3437" w:type="dxa"/>
            <w:gridSpan w:val="2"/>
          </w:tcPr>
          <w:p w:rsidR="00641BFF" w:rsidRPr="008A2F92" w:rsidRDefault="00641BFF" w:rsidP="00814F1F">
            <w:pPr>
              <w:jc w:val="both"/>
            </w:pPr>
            <w:r w:rsidRPr="008A2F92">
              <w:rPr>
                <w:bCs/>
              </w:rPr>
              <w:t xml:space="preserve">«Продукция пивоваренная. Методы определения объемной доли этилового спирта, массовой доли действительного экстракта и расчет </w:t>
            </w:r>
            <w:proofErr w:type="spellStart"/>
            <w:r w:rsidRPr="008A2F92">
              <w:rPr>
                <w:bCs/>
              </w:rPr>
              <w:t>экстрактивности</w:t>
            </w:r>
            <w:proofErr w:type="spellEnd"/>
            <w:r w:rsidRPr="008A2F92">
              <w:rPr>
                <w:bCs/>
              </w:rPr>
              <w:t xml:space="preserve"> начального сусла»</w:t>
            </w:r>
          </w:p>
        </w:tc>
        <w:tc>
          <w:tcPr>
            <w:tcW w:w="1560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Взамен ГОСТ 12787-81 </w:t>
            </w:r>
            <w:r w:rsidRPr="008A2F92">
              <w:t>с установлением переходного периода до 22.06.2024</w:t>
            </w:r>
          </w:p>
        </w:tc>
        <w:tc>
          <w:tcPr>
            <w:tcW w:w="2976" w:type="dxa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Межгосударственные стандарты в области пищевой промышленности и сельскохозяйственной продукции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23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6201-2020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Горох шлифованный.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Взамен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ГОСТ 6201-68 с установлением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переходного периода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до </w:t>
            </w:r>
            <w:r w:rsidRPr="008A2F92">
              <w:t>22.06.2024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24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33771-2016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Соль пищевая. Расчетный метод определения основного вещества по солевому составу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25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  <w:rPr>
                <w:highlight w:val="yellow"/>
              </w:rPr>
            </w:pPr>
            <w:r w:rsidRPr="008A2F92">
              <w:t>ГОСТ ISO 8455-2015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Кофе зеленый в мешках. Руководство по хранению и транспортированию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26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ISO 6673-2014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Кофе зеленый. Определение потери массы при температуре 105 °C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</w:pPr>
            <w:r w:rsidRPr="008A2F92">
              <w:t>27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5550-2021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Крупа гречневая.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Взамен ГОСТ 5550-74 с установлением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переходного периода</w:t>
            </w:r>
          </w:p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до </w:t>
            </w:r>
            <w:r w:rsidRPr="008A2F92">
              <w:t>22.06.2024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Технический регламент Таможенного союза «О безопасности пищевой продукции»</w:t>
            </w:r>
          </w:p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(</w:t>
            </w: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ТС 021/2011)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1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31722-2012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Изделия кондитерские. Методы определения содержания молочного жира в шоколадных изделиях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lang w:val="kk-KZ"/>
              </w:rPr>
              <w:t>05.06.2023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2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32031-2022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Продукты пищевые. Методы выявления бактерий 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monocytogenes</w:t>
            </w:r>
            <w:proofErr w:type="spellEnd"/>
            <w:r w:rsidRPr="008A2F92">
              <w:t xml:space="preserve"> и других видов 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(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spp</w:t>
            </w:r>
            <w:proofErr w:type="spellEnd"/>
            <w:r w:rsidRPr="008A2F92">
              <w:t>.)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Взамен ГОСТ 32031-2012 с установлением переходного периода до </w:t>
            </w:r>
            <w:r w:rsidRPr="008A2F92">
              <w:t>22.06.2024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641BFF" w:rsidRPr="008A2F92" w:rsidRDefault="00641BFF" w:rsidP="00814F1F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3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34126-2017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Консервы овощные закусочные. Лечо. Технические условия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ТС 017/2011 «О безопасности продукции легкой промышленности»</w:t>
            </w:r>
          </w:p>
        </w:tc>
      </w:tr>
      <w:tr w:rsidR="00641BFF" w:rsidRPr="008A2F92" w:rsidTr="00D21734">
        <w:trPr>
          <w:trHeight w:val="230"/>
        </w:trPr>
        <w:tc>
          <w:tcPr>
            <w:tcW w:w="369" w:type="dxa"/>
            <w:shd w:val="clear" w:color="auto" w:fill="auto"/>
          </w:tcPr>
          <w:p w:rsidR="00641BFF" w:rsidRPr="008A2F92" w:rsidRDefault="00641BFF" w:rsidP="00814F1F">
            <w:pPr>
              <w:pStyle w:val="a4"/>
              <w:numPr>
                <w:ilvl w:val="0"/>
                <w:numId w:val="4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ISO 14184-1-2014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«Материалы текстильные. Определение содержания формальдегида. Часть 1. </w:t>
            </w:r>
            <w:proofErr w:type="gramStart"/>
            <w:r w:rsidRPr="008A2F92">
              <w:t>Свободный и гидролизованный формальдегид (метод водной экстракции»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t xml:space="preserve">Взамен </w:t>
            </w:r>
            <w:proofErr w:type="gramStart"/>
            <w:r w:rsidRPr="008A2F92">
              <w:t>СТ</w:t>
            </w:r>
            <w:proofErr w:type="gramEnd"/>
            <w:r w:rsidRPr="008A2F92">
              <w:t xml:space="preserve"> РК ИСО 14184-1-2009 «Текстиль Определение содержания формальдегида Часть 1 Свободный и гидролизованный формальдегид (метод водной экстракции)» - с установлением переходного периода до 22.06.2024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369" w:type="dxa"/>
            <w:shd w:val="clear" w:color="auto" w:fill="auto"/>
          </w:tcPr>
          <w:p w:rsidR="00641BFF" w:rsidRPr="008A2F92" w:rsidRDefault="00641BFF" w:rsidP="00814F1F">
            <w:pPr>
              <w:pStyle w:val="a4"/>
              <w:numPr>
                <w:ilvl w:val="0"/>
                <w:numId w:val="4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ГОСТ 34086-2017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«Ткани и изделия штучные текстильные декоративные. Общие технические условия»</w:t>
            </w:r>
          </w:p>
        </w:tc>
        <w:tc>
          <w:tcPr>
            <w:tcW w:w="1560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</w:pPr>
            <w:r w:rsidRPr="00427810"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641BFF" w:rsidRPr="00E91669" w:rsidRDefault="00641BFF" w:rsidP="00814F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>Межгосударственные стандарты в области медицины</w:t>
            </w:r>
          </w:p>
        </w:tc>
      </w:tr>
      <w:tr w:rsidR="00641BFF" w:rsidRPr="008A2F92" w:rsidTr="00D21734">
        <w:trPr>
          <w:trHeight w:val="230"/>
        </w:trPr>
        <w:tc>
          <w:tcPr>
            <w:tcW w:w="369" w:type="dxa"/>
            <w:shd w:val="clear" w:color="auto" w:fill="auto"/>
          </w:tcPr>
          <w:p w:rsidR="00641BFF" w:rsidRPr="008A2F92" w:rsidRDefault="00641BFF" w:rsidP="005702F6">
            <w:pPr>
              <w:pStyle w:val="a4"/>
              <w:numPr>
                <w:ilvl w:val="0"/>
                <w:numId w:val="6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ГОСТ ISO 10993-3-2018 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«Изделия медицинские. Оценка биологического действия медицинских изделий. Часть 3. Исследования </w:t>
            </w:r>
            <w:proofErr w:type="spellStart"/>
            <w:r w:rsidRPr="008A2F92">
              <w:t>генотоксичности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канцерогенности</w:t>
            </w:r>
            <w:proofErr w:type="spellEnd"/>
            <w:r w:rsidRPr="008A2F92">
              <w:t xml:space="preserve"> и токсического действия на репродуктивную функцию»</w:t>
            </w:r>
          </w:p>
        </w:tc>
        <w:tc>
          <w:tcPr>
            <w:tcW w:w="1560" w:type="dxa"/>
            <w:shd w:val="clear" w:color="auto" w:fill="auto"/>
          </w:tcPr>
          <w:p w:rsidR="00641BFF" w:rsidRPr="00427810" w:rsidRDefault="00641BFF" w:rsidP="00814F1F">
            <w:pPr>
              <w:autoSpaceDE w:val="0"/>
              <w:autoSpaceDN w:val="0"/>
              <w:adjustRightInd w:val="0"/>
              <w:jc w:val="both"/>
            </w:pPr>
            <w:r w:rsidRPr="00427810">
              <w:t>Впервые</w:t>
            </w:r>
          </w:p>
        </w:tc>
        <w:tc>
          <w:tcPr>
            <w:tcW w:w="2976" w:type="dxa"/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D21734">
        <w:trPr>
          <w:trHeight w:val="230"/>
        </w:trPr>
        <w:tc>
          <w:tcPr>
            <w:tcW w:w="369" w:type="dxa"/>
            <w:tcBorders>
              <w:bottom w:val="single" w:sz="4" w:space="0" w:color="auto"/>
            </w:tcBorders>
            <w:shd w:val="clear" w:color="auto" w:fill="auto"/>
          </w:tcPr>
          <w:p w:rsidR="00641BFF" w:rsidRPr="008A2F92" w:rsidRDefault="00641BFF" w:rsidP="005702F6">
            <w:pPr>
              <w:pStyle w:val="a4"/>
              <w:numPr>
                <w:ilvl w:val="0"/>
                <w:numId w:val="6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 xml:space="preserve">ГОСТ ISO 6710-2011 </w:t>
            </w:r>
          </w:p>
        </w:tc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8A2F92">
              <w:t>«Контейнеры для сбора образцов венозной крови одноразовые. Технические требования и методы испытаний»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41BFF" w:rsidRPr="00427810" w:rsidRDefault="00641BFF" w:rsidP="00814F1F">
            <w:pPr>
              <w:autoSpaceDE w:val="0"/>
              <w:autoSpaceDN w:val="0"/>
              <w:adjustRightInd w:val="0"/>
              <w:jc w:val="both"/>
            </w:pPr>
            <w:r w:rsidRPr="00427810">
              <w:t>Впервые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641BFF" w:rsidRPr="008A2F92" w:rsidRDefault="00641BFF" w:rsidP="00814F1F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г.</w:t>
            </w:r>
          </w:p>
        </w:tc>
      </w:tr>
      <w:tr w:rsidR="00641BFF" w:rsidRPr="008A2F92" w:rsidTr="00641BFF">
        <w:trPr>
          <w:trHeight w:val="230"/>
        </w:trPr>
        <w:tc>
          <w:tcPr>
            <w:tcW w:w="10319" w:type="dxa"/>
            <w:gridSpan w:val="8"/>
            <w:tcBorders>
              <w:bottom w:val="nil"/>
            </w:tcBorders>
            <w:shd w:val="clear" w:color="auto" w:fill="auto"/>
          </w:tcPr>
          <w:p w:rsidR="00641BFF" w:rsidRPr="00E91669" w:rsidRDefault="00641BFF" w:rsidP="005702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Межгосударственные стандарты нефтяной промышленности</w:t>
            </w:r>
          </w:p>
        </w:tc>
      </w:tr>
      <w:tr w:rsidR="00641BFF" w:rsidRPr="005702F6" w:rsidTr="00D21734">
        <w:trPr>
          <w:trHeight w:val="230"/>
        </w:trPr>
        <w:tc>
          <w:tcPr>
            <w:tcW w:w="369" w:type="dxa"/>
            <w:tcBorders>
              <w:top w:val="nil"/>
            </w:tcBorders>
            <w:shd w:val="clear" w:color="auto" w:fill="auto"/>
          </w:tcPr>
          <w:p w:rsidR="00641BFF" w:rsidRPr="008A2F92" w:rsidRDefault="00641BFF" w:rsidP="005702F6">
            <w:pPr>
              <w:pStyle w:val="a4"/>
              <w:numPr>
                <w:ilvl w:val="0"/>
                <w:numId w:val="5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tcBorders>
              <w:top w:val="nil"/>
            </w:tcBorders>
            <w:shd w:val="clear" w:color="auto" w:fill="auto"/>
          </w:tcPr>
          <w:p w:rsidR="00641BFF" w:rsidRPr="008A2F92" w:rsidRDefault="00641BFF" w:rsidP="005702F6">
            <w:pPr>
              <w:jc w:val="both"/>
            </w:pPr>
            <w:r w:rsidRPr="005702F6">
              <w:t xml:space="preserve">ГОСТ 305-2013 </w:t>
            </w:r>
          </w:p>
        </w:tc>
        <w:tc>
          <w:tcPr>
            <w:tcW w:w="3437" w:type="dxa"/>
            <w:gridSpan w:val="2"/>
            <w:tcBorders>
              <w:top w:val="nil"/>
            </w:tcBorders>
            <w:shd w:val="clear" w:color="auto" w:fill="auto"/>
          </w:tcPr>
          <w:p w:rsidR="00641BFF" w:rsidRPr="008A2F92" w:rsidRDefault="00641BFF" w:rsidP="00814F1F">
            <w:pPr>
              <w:jc w:val="both"/>
            </w:pPr>
            <w:r w:rsidRPr="005702F6">
              <w:t>«Топливо дизельное. Технические условия»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641BFF" w:rsidRPr="00427810" w:rsidRDefault="00641BFF" w:rsidP="00814F1F">
            <w:pPr>
              <w:autoSpaceDE w:val="0"/>
              <w:autoSpaceDN w:val="0"/>
              <w:adjustRightInd w:val="0"/>
              <w:jc w:val="both"/>
            </w:pPr>
            <w:r w:rsidRPr="005702F6">
              <w:t>Взамен ГОСТ 305-82 с установлением переходного периода до 01.01.2024 г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641BFF" w:rsidRDefault="00641BFF" w:rsidP="005702F6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10</w:t>
            </w:r>
            <w:r w:rsidRPr="008A2F92">
              <w:rPr>
                <w:lang w:val="kk-KZ"/>
              </w:rPr>
              <w:t>.0</w:t>
            </w:r>
            <w:r>
              <w:rPr>
                <w:lang w:val="kk-KZ"/>
              </w:rPr>
              <w:t>7</w:t>
            </w:r>
            <w:r w:rsidRPr="008A2F92">
              <w:rPr>
                <w:lang w:val="kk-KZ"/>
              </w:rPr>
              <w:t>.2023 г.</w:t>
            </w:r>
          </w:p>
        </w:tc>
      </w:tr>
    </w:tbl>
    <w:p w:rsidR="009E739D" w:rsidRPr="005702F6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sectPr w:rsidR="009E739D" w:rsidRPr="005702F6" w:rsidSect="00D21734"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02.06.2023 18:07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06.06.2023 17:34.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D1153"/>
    <w:rsid w:val="0005494B"/>
    <w:rsid w:val="000D1153"/>
    <w:rsid w:val="001A74F2"/>
    <w:rsid w:val="002D7A0C"/>
    <w:rsid w:val="00341ADC"/>
    <w:rsid w:val="00427810"/>
    <w:rsid w:val="005702F6"/>
    <w:rsid w:val="00641BFF"/>
    <w:rsid w:val="00814F1F"/>
    <w:rsid w:val="008A2F92"/>
    <w:rsid w:val="008D4BFC"/>
    <w:rsid w:val="009E739D"/>
    <w:rsid w:val="00A23E65"/>
    <w:rsid w:val="00A66EF5"/>
    <w:rsid w:val="00C4517D"/>
    <w:rsid w:val="00D0205E"/>
    <w:rsid w:val="00D21734"/>
    <w:rsid w:val="00E91669"/>
    <w:rsid w:val="00E9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68" Type="http://schemas.openxmlformats.org/officeDocument/2006/relationships/image" Target="media/image968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D7F2-2037-4160-8315-C85BB7FD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Пользователь Windows</cp:lastModifiedBy>
  <cp:revision>4</cp:revision>
  <dcterms:created xsi:type="dcterms:W3CDTF">2023-06-02T06:20:00Z</dcterms:created>
  <dcterms:modified xsi:type="dcterms:W3CDTF">2023-06-02T06:27:00Z</dcterms:modified>
</cp:coreProperties>
</file>